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A1" w:rsidRDefault="00AB3AC1" w:rsidP="00730FB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Одним из основных текущих трендов </w:t>
      </w:r>
      <w:r w:rsidR="00206EB1">
        <w:rPr>
          <w:rFonts w:ascii="Arial" w:hAnsi="Arial" w:cs="Arial"/>
        </w:rPr>
        <w:t xml:space="preserve">успешного развития бизнеса </w:t>
      </w:r>
      <w:r>
        <w:rPr>
          <w:rFonts w:ascii="Arial" w:hAnsi="Arial" w:cs="Arial"/>
        </w:rPr>
        <w:t>явля</w:t>
      </w:r>
      <w:r w:rsidR="00206EB1">
        <w:rPr>
          <w:rFonts w:ascii="Arial" w:hAnsi="Arial" w:cs="Arial"/>
        </w:rPr>
        <w:t xml:space="preserve">ется </w:t>
      </w:r>
      <w:r w:rsidR="00E968DA">
        <w:rPr>
          <w:rFonts w:ascii="Arial" w:hAnsi="Arial" w:cs="Arial"/>
        </w:rPr>
        <w:t xml:space="preserve">овладение знаниями и </w:t>
      </w:r>
      <w:r w:rsidR="005C77A1">
        <w:rPr>
          <w:rFonts w:ascii="Arial" w:hAnsi="Arial" w:cs="Arial"/>
        </w:rPr>
        <w:t>навыками в сфере бизнес-права и правоприменительной практики.</w:t>
      </w:r>
    </w:p>
    <w:p w:rsidR="00D50700" w:rsidRDefault="005C77A1" w:rsidP="00730FB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Московское региональное отделение «Деловой России»</w:t>
      </w:r>
      <w:r w:rsidR="007B4BC7">
        <w:rPr>
          <w:rFonts w:ascii="Arial" w:hAnsi="Arial" w:cs="Arial"/>
        </w:rPr>
        <w:t xml:space="preserve"> запускает цикл</w:t>
      </w:r>
      <w:r w:rsidR="00206EB1">
        <w:rPr>
          <w:rFonts w:ascii="Arial" w:hAnsi="Arial" w:cs="Arial"/>
        </w:rPr>
        <w:t xml:space="preserve"> круглых столов</w:t>
      </w:r>
      <w:r w:rsidR="00AF5447">
        <w:rPr>
          <w:rFonts w:ascii="Arial" w:hAnsi="Arial" w:cs="Arial"/>
        </w:rPr>
        <w:t xml:space="preserve"> </w:t>
      </w:r>
      <w:r w:rsidR="00D50700">
        <w:rPr>
          <w:rFonts w:ascii="Arial" w:hAnsi="Arial" w:cs="Arial"/>
        </w:rPr>
        <w:t xml:space="preserve">по актуальным вопросам бизнес-права и правоприменительной практики с привлечением в качестве спикеров </w:t>
      </w:r>
      <w:r w:rsidR="007B4BC7">
        <w:rPr>
          <w:rFonts w:ascii="Arial" w:hAnsi="Arial" w:cs="Arial"/>
        </w:rPr>
        <w:t>юристов</w:t>
      </w:r>
      <w:r w:rsidR="00D50700">
        <w:rPr>
          <w:rFonts w:ascii="Arial" w:hAnsi="Arial" w:cs="Arial"/>
        </w:rPr>
        <w:t xml:space="preserve"> </w:t>
      </w:r>
      <w:r w:rsidR="001A67D6">
        <w:rPr>
          <w:rFonts w:ascii="Arial" w:hAnsi="Arial" w:cs="Arial"/>
        </w:rPr>
        <w:t>ведущих адвокатских</w:t>
      </w:r>
      <w:r w:rsidR="00D50700">
        <w:rPr>
          <w:rFonts w:ascii="Arial" w:hAnsi="Arial" w:cs="Arial"/>
        </w:rPr>
        <w:t xml:space="preserve"> образований.</w:t>
      </w:r>
    </w:p>
    <w:p w:rsidR="00F926CC" w:rsidRDefault="00F926CC" w:rsidP="00730FB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рамках данного цикла круглых столов мы дадим оценку наиболее актуальным вопросам бизнес-права, а именно:</w:t>
      </w:r>
    </w:p>
    <w:p w:rsidR="00172CE7" w:rsidRDefault="007B4BC7" w:rsidP="007B4BC7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</w:t>
      </w:r>
      <w:r w:rsidR="00172CE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ак изначально уберечь себя от возможных рисков уголовной ответственности в сфере управления бизнесом и предпринимательской деятельности. </w:t>
      </w:r>
    </w:p>
    <w:p w:rsidR="007B2D3C" w:rsidRDefault="007B4BC7" w:rsidP="001D6B4B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Каковы наиболее часто встречаемые</w:t>
      </w:r>
      <w:r w:rsidR="007B2D3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схемы рейдерского захвата бизнеса, в </w:t>
      </w:r>
      <w:proofErr w:type="spellStart"/>
      <w:r w:rsidR="007B2D3C">
        <w:rPr>
          <w:rFonts w:ascii="Arial" w:hAnsi="Arial" w:cs="Arial"/>
          <w:color w:val="000000"/>
          <w:sz w:val="21"/>
          <w:szCs w:val="21"/>
          <w:shd w:val="clear" w:color="auto" w:fill="FFFFFF"/>
        </w:rPr>
        <w:t>т.ч</w:t>
      </w:r>
      <w:proofErr w:type="spellEnd"/>
      <w:r w:rsidR="007B2D3C">
        <w:rPr>
          <w:rFonts w:ascii="Arial" w:hAnsi="Arial" w:cs="Arial"/>
          <w:color w:val="000000"/>
          <w:sz w:val="21"/>
          <w:szCs w:val="21"/>
          <w:shd w:val="clear" w:color="auto" w:fill="FFFFFF"/>
        </w:rPr>
        <w:t>. путем незаконных банкротств и корпоративных злоупотреблений.</w:t>
      </w:r>
    </w:p>
    <w:p w:rsidR="007B2D3C" w:rsidRDefault="00F926CC" w:rsidP="001D6B4B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Какие</w:t>
      </w:r>
      <w:r w:rsidR="007B2D3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мошеннические схемы по хищен</w:t>
      </w:r>
      <w:r w:rsidR="007B4BC7">
        <w:rPr>
          <w:rFonts w:ascii="Arial" w:hAnsi="Arial" w:cs="Arial"/>
          <w:color w:val="000000"/>
          <w:sz w:val="21"/>
          <w:szCs w:val="21"/>
          <w:shd w:val="clear" w:color="auto" w:fill="FFFFFF"/>
        </w:rPr>
        <w:t>ию активов</w:t>
      </w:r>
      <w:r w:rsidR="007B2D3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коммерческих организаций, а также долей и </w:t>
      </w:r>
      <w:r w:rsid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акций владельцев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юридических лиц являются наиболее актуальными. </w:t>
      </w:r>
    </w:p>
    <w:p w:rsidR="00726116" w:rsidRDefault="007B2D3C" w:rsidP="001D6B4B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8730B0">
        <w:rPr>
          <w:rFonts w:ascii="Arial" w:hAnsi="Arial" w:cs="Arial"/>
          <w:color w:val="000000"/>
          <w:sz w:val="21"/>
          <w:szCs w:val="21"/>
          <w:shd w:val="clear" w:color="auto" w:fill="FFFFFF"/>
        </w:rPr>
        <w:t>Кроме того, м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ы рассмотрим практический материал, позволяющий управлен</w:t>
      </w:r>
      <w:r w:rsidR="00726116">
        <w:rPr>
          <w:rFonts w:ascii="Arial" w:hAnsi="Arial" w:cs="Arial"/>
          <w:color w:val="000000"/>
          <w:sz w:val="21"/>
          <w:szCs w:val="21"/>
          <w:shd w:val="clear" w:color="auto" w:fill="FFFFFF"/>
        </w:rPr>
        <w:t>цам и предпринимателям приобрести знания и навыки по разграничению обычной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бизнес-ошибк</w:t>
      </w:r>
      <w:r w:rsidR="0072611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и в текущей хозяйственной деятельности коммерческой организации от действий, повлекших ущерб и/или убытки коммерческой организации, за которое руководители несут личную </w:t>
      </w:r>
      <w:r w:rsidR="00F926C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гражданскую </w:t>
      </w:r>
      <w:r w:rsidR="00726116"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ответственность, а также от действий, повлекших ущерб и/или убытки коммерческой организации, за которое руководители несут уголовную ответственность.</w:t>
      </w:r>
    </w:p>
    <w:p w:rsidR="00C30859" w:rsidRDefault="00726116" w:rsidP="001D6B4B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F314E5">
        <w:rPr>
          <w:rFonts w:ascii="Arial" w:hAnsi="Arial" w:cs="Arial"/>
          <w:color w:val="000000"/>
          <w:sz w:val="21"/>
          <w:szCs w:val="21"/>
          <w:shd w:val="clear" w:color="auto" w:fill="FFFFFF"/>
        </w:rPr>
        <w:t>М</w:t>
      </w:r>
      <w:r w:rsidR="00C3085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ы </w:t>
      </w:r>
      <w:r w:rsidR="00F314E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также </w:t>
      </w:r>
      <w:r w:rsidR="00C30859">
        <w:rPr>
          <w:rFonts w:ascii="Arial" w:hAnsi="Arial" w:cs="Arial"/>
          <w:color w:val="000000"/>
          <w:sz w:val="21"/>
          <w:szCs w:val="21"/>
          <w:shd w:val="clear" w:color="auto" w:fill="FFFFFF"/>
        </w:rPr>
        <w:t>рассмотрим практический материал, связанный с выгодами и убытками, рисками и преимуществами процедур несостоятельности (банкротства) юридических лиц</w:t>
      </w:r>
      <w:r w:rsidR="008730B0">
        <w:rPr>
          <w:rFonts w:ascii="Arial" w:hAnsi="Arial" w:cs="Arial"/>
          <w:color w:val="000000"/>
          <w:sz w:val="21"/>
          <w:szCs w:val="21"/>
          <w:shd w:val="clear" w:color="auto" w:fill="FFFFFF"/>
        </w:rPr>
        <w:t>, ибо</w:t>
      </w:r>
      <w:r w:rsidR="00C3085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 сегодняшний день знания и навыки в вопросах практического применения процедуры банкротства являются одним из самых быстрых способов</w:t>
      </w:r>
      <w:r w:rsidR="00A8439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обогащения коммерче</w:t>
      </w:r>
      <w:r w:rsidR="007F59E2">
        <w:rPr>
          <w:rFonts w:ascii="Arial" w:hAnsi="Arial" w:cs="Arial"/>
          <w:color w:val="000000"/>
          <w:sz w:val="21"/>
          <w:szCs w:val="21"/>
          <w:shd w:val="clear" w:color="auto" w:fill="FFFFFF"/>
        </w:rPr>
        <w:t>с</w:t>
      </w:r>
      <w:r w:rsidR="00A8439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кой организации. Соответственно, незнание </w:t>
      </w:r>
      <w:r w:rsidR="007F59E2"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практического применения процедуры банкротства является одной из самых распространенных форм краха бизнеса коммерческой организации.</w:t>
      </w:r>
      <w:r w:rsidR="00AB232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Причем, вышесказанное относится не только к коммерческим организациям – должникам при процедуре банкротства, но и к коммерческим организациям – кредиторам при процедуре банкротства. </w:t>
      </w:r>
    </w:p>
    <w:p w:rsidR="004734FB" w:rsidRDefault="004734FB" w:rsidP="004734FB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Отдельной темой, будут рассмотрены </w:t>
      </w:r>
      <w:r w:rsidR="00957B2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практические способы эффективного взыскания задолженности с контрагентов.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962190" w:rsidRDefault="007F59E2" w:rsidP="00962190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Мы также рассмотрим </w:t>
      </w:r>
      <w:r w:rsidR="00CF4E7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актуальные вопросы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выгод, рисков, последствий и преимуществ корпоративных споров как между участниками (акционерами) юридического лица, так и споров между участниками и единоличным исполнительным о</w:t>
      </w:r>
      <w:r w:rsidR="0096219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рганом (генеральным директором)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юридического лица. </w:t>
      </w:r>
    </w:p>
    <w:p w:rsidR="007F59E2" w:rsidRDefault="00962190" w:rsidP="00962190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Мы также рассмотрим перечень законных/незаконных и обоснованных/необоснованных, </w:t>
      </w:r>
      <w:r w:rsidR="00F314E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актуальных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претензий к Генеральному директору и менеджменту не только со стороны учредителей, но и со стороны «третьих лиц». </w:t>
      </w:r>
      <w:r w:rsidR="007F59E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</w:t>
      </w:r>
    </w:p>
    <w:p w:rsidR="009B112A" w:rsidRDefault="009B112A" w:rsidP="00962190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Отдельной темой лекций с обозрением практического материала будут вопросы налогового права, в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т.ч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налоговой оптимизации и незаконных налоговых вычетов.</w:t>
      </w:r>
    </w:p>
    <w:p w:rsidR="004734FB" w:rsidRDefault="009B112A" w:rsidP="004734FB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Безусловно, еще одной важной темой будут вопросы правового регулирования инвестиционной деятельности. Будут рассмотрены</w:t>
      </w:r>
      <w:r w:rsidR="000905C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CF4E70"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практические особенности требований</w:t>
      </w:r>
      <w:r w:rsidR="000905C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со стороны инвесторов к инвестируемым объектам, основные параметры правового </w:t>
      </w:r>
      <w:r w:rsidR="000905C6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due</w:t>
      </w:r>
      <w:r w:rsidR="000905C6" w:rsidRPr="000905C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0905C6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diligence</w:t>
      </w:r>
      <w:r w:rsidR="004734F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по инвестиционному проекту</w:t>
      </w:r>
      <w:r w:rsidR="000905C6">
        <w:rPr>
          <w:rFonts w:ascii="Arial" w:hAnsi="Arial" w:cs="Arial"/>
          <w:color w:val="000000"/>
          <w:sz w:val="21"/>
          <w:szCs w:val="21"/>
          <w:shd w:val="clear" w:color="auto" w:fill="FFFFFF"/>
        </w:rPr>
        <w:t>, а также актуальные вопросы прав и</w:t>
      </w:r>
      <w:r w:rsidR="004734F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интересов инвесторов, в </w:t>
      </w:r>
      <w:proofErr w:type="spellStart"/>
      <w:r w:rsidR="004734FB">
        <w:rPr>
          <w:rFonts w:ascii="Arial" w:hAnsi="Arial" w:cs="Arial"/>
          <w:color w:val="000000"/>
          <w:sz w:val="21"/>
          <w:szCs w:val="21"/>
          <w:shd w:val="clear" w:color="auto" w:fill="FFFFFF"/>
        </w:rPr>
        <w:t>т.ч</w:t>
      </w:r>
      <w:proofErr w:type="spellEnd"/>
      <w:r w:rsidR="004734F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="000905C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4734F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защиты интересов инвесторов от </w:t>
      </w:r>
      <w:proofErr w:type="gramStart"/>
      <w:r w:rsidR="004734FB">
        <w:rPr>
          <w:rFonts w:ascii="Arial" w:hAnsi="Arial" w:cs="Arial"/>
          <w:color w:val="000000"/>
          <w:sz w:val="21"/>
          <w:szCs w:val="21"/>
          <w:shd w:val="clear" w:color="auto" w:fill="FFFFFF"/>
        </w:rPr>
        <w:t>незаконных  действий</w:t>
      </w:r>
      <w:proofErr w:type="gramEnd"/>
      <w:r w:rsidR="004734F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со стороны </w:t>
      </w:r>
      <w:r w:rsidR="00CF4E7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руководителей </w:t>
      </w:r>
      <w:r w:rsidR="004734FB">
        <w:rPr>
          <w:rFonts w:ascii="Arial" w:hAnsi="Arial" w:cs="Arial"/>
          <w:color w:val="000000"/>
          <w:sz w:val="21"/>
          <w:szCs w:val="21"/>
          <w:shd w:val="clear" w:color="auto" w:fill="FFFFFF"/>
        </w:rPr>
        <w:t>потенциальных инвестируемых компаний.</w:t>
      </w:r>
      <w:r w:rsidR="000905C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957B25" w:rsidRDefault="00957B25" w:rsidP="004734FB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 xml:space="preserve">Кроме того, мы обязательно коснемся актуальных вопросов трудового права, договорного права, вопросов интеллектуальной собственности, в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т.ч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авторского права и многое другое, имеющее актуальное значение для управленцев и предпринимателей.</w:t>
      </w:r>
    </w:p>
    <w:p w:rsidR="001A67D6" w:rsidRDefault="00971C43" w:rsidP="00971C43">
      <w:pPr>
        <w:ind w:firstLine="708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Темы круглых столов.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1.</w:t>
      </w:r>
      <w:r w:rsidRPr="001A67D6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ЭФФЕКТИВНЫЕ МЕРЫ ВЗЫСКАНИЯ ДЕБИТОРСКОЙ ЗАДОЛЖЕННОСТИ.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1.1. Эффективные меры взыскания задолженности в рамках исполнительного производства.</w:t>
      </w:r>
      <w:bookmarkStart w:id="0" w:name="_GoBack"/>
      <w:bookmarkEnd w:id="0"/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1.2. Эффективные меры взыскания задолженности в рамках процедуры банкротства.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1.3. Необходимость обращения в правоохранительные органы при наличии признаков уголовной ответственности на этапах взыскания задолженности.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1.4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Правоприменительная практика.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2. </w:t>
      </w:r>
      <w:r w:rsidRPr="001A67D6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УГОЛОВНО-ПРАВОВАЯ ЗАЩИТА ПРИВ И ИНТЕРЕСОВ КОММЕРЧЕСКОЙ ОРГАНИЗАЦИИ.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2.1. Виды мошеннических схем, несущих риски нанесения ущерба коммерческой организации.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2.2. Виды и способы защиты прав и интересов коммерческой организации путем обращения в правоохранительные органы, органы следствия и органы прокуратуры.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2.3. Способы «рейдерских захватов» коммерческой организации.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2.4. Иные виды преступлений в сфере экономики, несущие угрозы нанесения ущерба коммерческой организации.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2.5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Правоприменительная практика.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3. </w:t>
      </w:r>
      <w:r w:rsidRPr="001A67D6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НЕСОСТОЯТЕЛЬНОСТЬ (БАНКРОТСТВО) ЮРИДИЧЕСКИХ ЛИЦ.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3.1. Общие положения. 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3.2. Особенности процедур, применяемых в деле о банкротстве.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3.3. Права и интересы сторон (кредитора(-</w:t>
      </w:r>
      <w:proofErr w:type="spellStart"/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ов</w:t>
      </w:r>
      <w:proofErr w:type="spellEnd"/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), должника, арбитражного управляющего), участвующих в деле о банкротстве. 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3.4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Правоприменительная практика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4. </w:t>
      </w:r>
      <w:r w:rsidRPr="001A67D6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ЗАЩИТА </w:t>
      </w:r>
      <w:r w:rsidRPr="001A67D6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ЧЕСТИ, ДОСТОИНСТВА</w:t>
      </w:r>
      <w:r w:rsidRPr="001A67D6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И ДЕЛОВОЙ РЕПУТАЦИИ.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4.1 Общие</w:t>
      </w: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положения.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4.2. Способы защиты чести, достоинства и деловой репутации в гражданско-правовых отношениях.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4.3. Схемы с использованием сведений порочащих честь, достоинство и деловую репутацию, применяемые при недобросовестной конкуренции.  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4.4. Статья 128.1 Уголовного Кодекса РФ – «Клевета». Защита чести, достоинства и деловой репутации в сфере уголовно-правового законодательства.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4.5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Правоприменительная практика.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5. </w:t>
      </w:r>
      <w:r w:rsidRPr="001A67D6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КОРПОРАТИВНОЕ ПРАВО.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5.1. Организационно-правовые формы юридических лиц (АО, ПАО, ООО) в </w:t>
      </w: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Российской Федерации</w:t>
      </w: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.  Основные положения. Практические особенности. Преимущества и недостатки.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5.2.</w:t>
      </w: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Российская модель корпоративного управления.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5.3.</w:t>
      </w: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 xml:space="preserve">Организационно-правовые формы юридических лиц стран Евросоюза и США. Основные параметры. Практические особенности. Сходства и различия </w:t>
      </w: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с организационно</w:t>
      </w: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-правовыми формами юридических лиц Российской Федерации.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5.4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Правоприменительная практика.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6.</w:t>
      </w: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1A67D6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ПРАВОВЫЕ ВЗАИМООТНОШЕНИЯ В ОРГАНАХ УПРАВЛЕНИЯ ЮРИДИЧЕСКОГО ЛИЦА (КОММЕРЧЕСКОЙ ОРГАНИЗАЦИИ).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6.1.</w:t>
      </w: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 xml:space="preserve">Органы управления Юридического лица. Общее собрание участников (акционеров) Юридического лица. Права и обязанности участников (акционеров) Юридического лица. Виды общих собраний участников (акционеров) Юридического лица (годовое и внеочередное). Порядок проведения общего собрания участников (акционеров) Юридического лица.  Основные параметры. Практические особенности.  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6.2.</w:t>
      </w: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Совет директоров (Наблюдательный совет) Юридического лица. Компетенция Совета директоров. Функции и полномочия Совета директоров. Права и обязанности Совета директоров. Основные параметры. Практические особенности.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6.3.</w:t>
      </w: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Управляющая компания. Функции и полномочия Управляющей компании. Права и обязанности Управляющей компании.  Практические особенности.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6.4.</w:t>
      </w: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Исполнительный орган Юридического лица. Единоличный исполнительный орган Юридического лица – Генеральный директор. Функции и полномочия Генерального директора. Права и обязанности Генерального директора. Ответственность Генерального директора. Трудовой договор с Генеральным директором.  Практические особенности.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6.5.</w:t>
      </w: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 xml:space="preserve">Порядок возмещения убытков, причиненных Юридическому лицу Генеральным директором. Практические особенности.   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6.6.</w:t>
      </w: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 xml:space="preserve"> Бизнес-ошибка Генерального директора. Причинение убытков Генеральным директором. 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Нанесение ущерба Генеральным директором, предусматривающее уголовную   ответственность. Практические особенности. Сравнительный анализ.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6.7.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Правоприменительная  практика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7.</w:t>
      </w: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1A67D6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НАЛОГОВЫЕ   ПРАВОНАРУШЕНИЯ.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7.1.</w:t>
      </w: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 xml:space="preserve"> Виды налоговых правонарушений.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7.2.</w:t>
      </w: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Проверки, проводимые налоговыми органами. Камеральная и выездная проверка. Налоговый контроль. Практические особенности.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7.3.</w:t>
      </w: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 xml:space="preserve"> Привлечение к ответственности за совершение налогового правонарушения. Практические особенности.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7.4.</w:t>
      </w: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 xml:space="preserve"> Обоснованность получения налогоплательщиком налоговой выгоды. Получение необоснованной налоговой выгоды в виде необоснованного увеличения расходов по налогу на прибыль и принятия к вычету сумм налога на добавленную стоимость. Практические особенности.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7.5.</w:t>
      </w: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Ведение налогоплательщиком хозяйственной деятельности без должной осмотрительности. Практические особенности.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7.6.</w:t>
      </w: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 xml:space="preserve"> Статья 199 Уголовного Кодекса РФ «Уклонение от уплаты налогов, сборов, подлежащих уплате организацией, и (или) страховых взносов, подлежащих уплате организацией - плательщиком страховых взносов»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7.7.</w:t>
      </w: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 xml:space="preserve"> Правоприменительная практика.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8.</w:t>
      </w: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1A67D6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БАНКРОТСВО КРЕДИТНЫХ ОРГАНИЗАЦИЙ (БАНКОВ).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8.1.</w:t>
      </w: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 xml:space="preserve"> Общие положения.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8.2.</w:t>
      </w: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 xml:space="preserve"> Меры предосторожности, позволяющие выявить раннее </w:t>
      </w:r>
      <w:proofErr w:type="spellStart"/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предбанкротное</w:t>
      </w:r>
      <w:proofErr w:type="spellEnd"/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состояния Банка.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8.3.  Особенности процедур, применяемых в деле о </w:t>
      </w:r>
      <w:proofErr w:type="gramStart"/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банкротстве  Банка</w:t>
      </w:r>
      <w:proofErr w:type="gramEnd"/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8.4. Права и интересы сторон (кредиторов, временной администрации, ГК «АСВ»), участвующих в деле о банкротстве Банка.</w:t>
      </w:r>
    </w:p>
    <w:p w:rsidR="001A67D6" w:rsidRP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8.5. Защита прав и интересов кредиторов Банка. Практические особенности.</w:t>
      </w:r>
    </w:p>
    <w:p w:rsidR="001A67D6" w:rsidRDefault="001A67D6" w:rsidP="001A67D6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A67D6">
        <w:rPr>
          <w:rFonts w:ascii="Arial" w:hAnsi="Arial" w:cs="Arial"/>
          <w:color w:val="000000"/>
          <w:sz w:val="21"/>
          <w:szCs w:val="21"/>
          <w:shd w:val="clear" w:color="auto" w:fill="FFFFFF"/>
        </w:rPr>
        <w:t>8.6. Правоприменительная практика.</w:t>
      </w:r>
    </w:p>
    <w:p w:rsidR="00957B25" w:rsidRDefault="00957B25" w:rsidP="001A67D6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A67D6" w:rsidRDefault="001A67D6" w:rsidP="001A67D6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57B25" w:rsidRDefault="00957B25" w:rsidP="004734FB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57B25" w:rsidRDefault="00957B25" w:rsidP="004734FB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57B25" w:rsidRDefault="00957B25" w:rsidP="004734FB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D6B4B" w:rsidRDefault="001D6B4B" w:rsidP="004734FB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</w:p>
    <w:p w:rsidR="001D6B4B" w:rsidRDefault="001D6B4B" w:rsidP="001D6B4B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D6B4B" w:rsidRDefault="001D6B4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D6B4B" w:rsidRPr="001D6B4B" w:rsidRDefault="001D6B4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D5F79" w:rsidRPr="00D83773" w:rsidRDefault="00527A00">
      <w:r>
        <w:t xml:space="preserve"> </w:t>
      </w:r>
      <w:r w:rsidR="00D83773">
        <w:t xml:space="preserve"> </w:t>
      </w:r>
    </w:p>
    <w:sectPr w:rsidR="00ED5F79" w:rsidRPr="00D8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73"/>
    <w:rsid w:val="000905C6"/>
    <w:rsid w:val="00172CE7"/>
    <w:rsid w:val="00193A2A"/>
    <w:rsid w:val="001A67D6"/>
    <w:rsid w:val="001D6B4B"/>
    <w:rsid w:val="00206EB1"/>
    <w:rsid w:val="003D056D"/>
    <w:rsid w:val="003D14B3"/>
    <w:rsid w:val="004321E1"/>
    <w:rsid w:val="004734FB"/>
    <w:rsid w:val="00527A00"/>
    <w:rsid w:val="005C77A1"/>
    <w:rsid w:val="00651D47"/>
    <w:rsid w:val="00653141"/>
    <w:rsid w:val="00726116"/>
    <w:rsid w:val="00730FBC"/>
    <w:rsid w:val="0074774F"/>
    <w:rsid w:val="007B2D3C"/>
    <w:rsid w:val="007B4BC7"/>
    <w:rsid w:val="007D1E2F"/>
    <w:rsid w:val="007F09DC"/>
    <w:rsid w:val="007F59E2"/>
    <w:rsid w:val="008730B0"/>
    <w:rsid w:val="008D26F7"/>
    <w:rsid w:val="008D2B0C"/>
    <w:rsid w:val="008D6EC4"/>
    <w:rsid w:val="008F28E8"/>
    <w:rsid w:val="00957B25"/>
    <w:rsid w:val="00962190"/>
    <w:rsid w:val="00971C43"/>
    <w:rsid w:val="009B112A"/>
    <w:rsid w:val="009F0CE2"/>
    <w:rsid w:val="00A55C8C"/>
    <w:rsid w:val="00A8439F"/>
    <w:rsid w:val="00AB2322"/>
    <w:rsid w:val="00AB3AC1"/>
    <w:rsid w:val="00AF5447"/>
    <w:rsid w:val="00BA29B7"/>
    <w:rsid w:val="00C264F5"/>
    <w:rsid w:val="00C30859"/>
    <w:rsid w:val="00C42A86"/>
    <w:rsid w:val="00C67198"/>
    <w:rsid w:val="00C84B75"/>
    <w:rsid w:val="00CF4E70"/>
    <w:rsid w:val="00D50700"/>
    <w:rsid w:val="00D83773"/>
    <w:rsid w:val="00E968DA"/>
    <w:rsid w:val="00ED5F79"/>
    <w:rsid w:val="00EF1312"/>
    <w:rsid w:val="00F314E5"/>
    <w:rsid w:val="00F9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81DD"/>
  <w15:chartTrackingRefBased/>
  <w15:docId w15:val="{EEFC5DC3-157C-4409-9C82-AA0D5E5E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Рафкат</dc:creator>
  <cp:keywords/>
  <dc:description/>
  <cp:lastModifiedBy>Пользователь</cp:lastModifiedBy>
  <cp:revision>3</cp:revision>
  <dcterms:created xsi:type="dcterms:W3CDTF">2018-08-27T07:49:00Z</dcterms:created>
  <dcterms:modified xsi:type="dcterms:W3CDTF">2018-08-27T07:50:00Z</dcterms:modified>
</cp:coreProperties>
</file>